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6D46BFB" w:rsidR="00F26ADF" w:rsidRDefault="00A47F62" w:rsidP="00A47F62">
      <w:pPr>
        <w:pStyle w:val="Heading1"/>
        <w:jc w:val="center"/>
        <w:rPr>
          <w:b/>
          <w:sz w:val="24"/>
          <w:szCs w:val="24"/>
        </w:rPr>
      </w:pPr>
      <w:bookmarkStart w:id="0" w:name="_ffvcasxaidck" w:colFirst="0" w:colLast="0"/>
      <w:bookmarkEnd w:id="0"/>
      <w:r>
        <w:rPr>
          <w:b/>
          <w:sz w:val="24"/>
          <w:szCs w:val="24"/>
        </w:rPr>
        <w:t>Bequ</w:t>
      </w:r>
      <w:r w:rsidR="004D0E32">
        <w:rPr>
          <w:b/>
          <w:sz w:val="24"/>
          <w:szCs w:val="24"/>
        </w:rPr>
        <w:t>inox</w:t>
      </w:r>
      <w:r>
        <w:rPr>
          <w:b/>
          <w:sz w:val="24"/>
          <w:szCs w:val="24"/>
        </w:rPr>
        <w:t xml:space="preserve"> Fire, Fuel and Generator Policy.</w:t>
      </w:r>
    </w:p>
    <w:p w14:paraId="00000002" w14:textId="77777777" w:rsidR="00F26ADF" w:rsidRDefault="00F26ADF">
      <w:pPr>
        <w:rPr>
          <w:b/>
          <w:color w:val="222222"/>
        </w:rPr>
      </w:pPr>
    </w:p>
    <w:p w14:paraId="00000003" w14:textId="77777777" w:rsidR="00F26ADF" w:rsidRDefault="00F26ADF">
      <w:pPr>
        <w:rPr>
          <w:b/>
          <w:color w:val="222222"/>
        </w:rPr>
      </w:pPr>
    </w:p>
    <w:p w14:paraId="00000004" w14:textId="77777777" w:rsidR="00F26ADF" w:rsidRDefault="00000000" w:rsidP="004D0E32">
      <w:pPr>
        <w:jc w:val="both"/>
        <w:rPr>
          <w:b/>
          <w:color w:val="222222"/>
        </w:rPr>
      </w:pPr>
      <w:r>
        <w:rPr>
          <w:b/>
          <w:color w:val="222222"/>
        </w:rPr>
        <w:t>Mutant Vehicles</w:t>
      </w:r>
    </w:p>
    <w:p w14:paraId="00000005" w14:textId="77777777" w:rsidR="00F26ADF" w:rsidRDefault="00000000" w:rsidP="004D0E32">
      <w:pPr>
        <w:numPr>
          <w:ilvl w:val="0"/>
          <w:numId w:val="4"/>
        </w:numPr>
        <w:jc w:val="both"/>
        <w:rPr>
          <w:color w:val="222222"/>
        </w:rPr>
      </w:pPr>
      <w:r>
        <w:rPr>
          <w:color w:val="222222"/>
        </w:rPr>
        <w:t>Mutant Vehicle operators should not store extra fuel on the MV.</w:t>
      </w:r>
    </w:p>
    <w:p w14:paraId="00000006" w14:textId="77777777" w:rsidR="00F26ADF" w:rsidRDefault="00000000" w:rsidP="004D0E32">
      <w:pPr>
        <w:numPr>
          <w:ilvl w:val="0"/>
          <w:numId w:val="4"/>
        </w:numPr>
        <w:jc w:val="both"/>
        <w:rPr>
          <w:color w:val="222222"/>
        </w:rPr>
      </w:pPr>
      <w:r>
        <w:rPr>
          <w:color w:val="222222"/>
        </w:rPr>
        <w:t xml:space="preserve">If your MV is leaking fuel; STOP, contain the leak, and contact anyone with a radio immediately! </w:t>
      </w:r>
    </w:p>
    <w:p w14:paraId="00000007" w14:textId="77777777" w:rsidR="00F26ADF" w:rsidRDefault="00F26ADF" w:rsidP="004D0E32">
      <w:pPr>
        <w:jc w:val="both"/>
        <w:rPr>
          <w:color w:val="222222"/>
        </w:rPr>
      </w:pPr>
    </w:p>
    <w:p w14:paraId="00000008" w14:textId="77777777" w:rsidR="00F26ADF" w:rsidRDefault="00000000" w:rsidP="004D0E32">
      <w:pPr>
        <w:jc w:val="both"/>
        <w:rPr>
          <w:b/>
          <w:color w:val="222222"/>
        </w:rPr>
      </w:pPr>
      <w:r>
        <w:rPr>
          <w:b/>
          <w:color w:val="222222"/>
        </w:rPr>
        <w:t>Fuel Storage</w:t>
      </w:r>
    </w:p>
    <w:p w14:paraId="00000009" w14:textId="77777777" w:rsidR="00F26ADF" w:rsidRDefault="00000000" w:rsidP="004D0E32">
      <w:pPr>
        <w:numPr>
          <w:ilvl w:val="0"/>
          <w:numId w:val="3"/>
        </w:numPr>
        <w:jc w:val="both"/>
        <w:rPr>
          <w:color w:val="222222"/>
        </w:rPr>
      </w:pPr>
      <w:r>
        <w:rPr>
          <w:color w:val="222222"/>
        </w:rPr>
        <w:t>All fuels must be stored and transported in appropriate certified (CARB/EPA/DOT/UL) fuel containers in good working order, free from defects or leaks, and (for propane tanks) within their certification date.</w:t>
      </w:r>
    </w:p>
    <w:p w14:paraId="0000000A" w14:textId="77777777" w:rsidR="00F26ADF" w:rsidRDefault="00000000" w:rsidP="004D0E32">
      <w:pPr>
        <w:numPr>
          <w:ilvl w:val="0"/>
          <w:numId w:val="3"/>
        </w:numPr>
        <w:jc w:val="both"/>
        <w:rPr>
          <w:color w:val="222222"/>
        </w:rPr>
      </w:pPr>
      <w:r>
        <w:rPr>
          <w:color w:val="222222"/>
        </w:rPr>
        <w:t xml:space="preserve">All gas/diesel fuel containers, regardless of size, must be stored within “secondary containment” basins capable of holding 110% of the volume of the largest single fuel container stored within it. </w:t>
      </w:r>
    </w:p>
    <w:p w14:paraId="0000000B" w14:textId="77777777" w:rsidR="00F26ADF" w:rsidRDefault="00000000" w:rsidP="004D0E32">
      <w:pPr>
        <w:numPr>
          <w:ilvl w:val="0"/>
          <w:numId w:val="3"/>
        </w:numPr>
        <w:jc w:val="both"/>
        <w:rPr>
          <w:color w:val="222222"/>
        </w:rPr>
      </w:pPr>
      <w:r>
        <w:rPr>
          <w:color w:val="222222"/>
        </w:rPr>
        <w:t xml:space="preserve">Fuel containers (even little ones) should not </w:t>
      </w:r>
      <w:proofErr w:type="gramStart"/>
      <w:r>
        <w:rPr>
          <w:color w:val="222222"/>
        </w:rPr>
        <w:t>be filled</w:t>
      </w:r>
      <w:proofErr w:type="gramEnd"/>
      <w:r>
        <w:rPr>
          <w:color w:val="222222"/>
        </w:rPr>
        <w:t xml:space="preserve"> more than 80% of capacity to allow for heat expansion. Do not fill past the maximum fill line marked on containers.</w:t>
      </w:r>
    </w:p>
    <w:p w14:paraId="0000000C" w14:textId="77777777" w:rsidR="00F26ADF" w:rsidRDefault="00000000" w:rsidP="004D0E32">
      <w:pPr>
        <w:numPr>
          <w:ilvl w:val="0"/>
          <w:numId w:val="3"/>
        </w:numPr>
        <w:jc w:val="both"/>
        <w:rPr>
          <w:color w:val="222222"/>
        </w:rPr>
      </w:pPr>
      <w:r>
        <w:rPr>
          <w:color w:val="222222"/>
        </w:rPr>
        <w:t>No more than two 55-gallon fuel drums (or no more than a total of 110 gallons of fuel) may be stored in a camp.</w:t>
      </w:r>
    </w:p>
    <w:p w14:paraId="0000000D" w14:textId="77777777" w:rsidR="00F26ADF" w:rsidRDefault="00000000" w:rsidP="004D0E32">
      <w:pPr>
        <w:numPr>
          <w:ilvl w:val="0"/>
          <w:numId w:val="3"/>
        </w:numPr>
        <w:jc w:val="both"/>
        <w:rPr>
          <w:color w:val="222222"/>
        </w:rPr>
      </w:pPr>
      <w:r>
        <w:rPr>
          <w:color w:val="222222"/>
        </w:rPr>
        <w:t>Any fuel spill in your camp should be reported to event staff immediately! They will advise you on remediation.</w:t>
      </w:r>
    </w:p>
    <w:p w14:paraId="0000000E" w14:textId="77777777" w:rsidR="00F26ADF" w:rsidRDefault="00000000" w:rsidP="004D0E32">
      <w:pPr>
        <w:numPr>
          <w:ilvl w:val="0"/>
          <w:numId w:val="3"/>
        </w:numPr>
        <w:jc w:val="both"/>
        <w:rPr>
          <w:color w:val="222222"/>
        </w:rPr>
      </w:pPr>
      <w:r>
        <w:rPr>
          <w:color w:val="222222"/>
        </w:rPr>
        <w:t>A safety radius of 100 ft. must separate fuel storage areas between neighboring camps.</w:t>
      </w:r>
    </w:p>
    <w:p w14:paraId="0000000F" w14:textId="71F64C1E" w:rsidR="00F26ADF" w:rsidRDefault="00000000" w:rsidP="004D0E32">
      <w:pPr>
        <w:numPr>
          <w:ilvl w:val="0"/>
          <w:numId w:val="3"/>
        </w:numPr>
        <w:jc w:val="both"/>
        <w:rPr>
          <w:color w:val="222222"/>
        </w:rPr>
      </w:pPr>
      <w:r>
        <w:rPr>
          <w:color w:val="222222"/>
        </w:rPr>
        <w:t>A safety radius of 25ft. must separate fuel storage areas from heat sources such as burn barrels, grills/stoves, running generators, RVs, trailers, tents, camp structures, and public areas.</w:t>
      </w:r>
    </w:p>
    <w:p w14:paraId="00000010" w14:textId="77777777" w:rsidR="00F26ADF" w:rsidRDefault="00000000" w:rsidP="004D0E32">
      <w:pPr>
        <w:numPr>
          <w:ilvl w:val="0"/>
          <w:numId w:val="3"/>
        </w:numPr>
        <w:jc w:val="both"/>
        <w:rPr>
          <w:color w:val="222222"/>
        </w:rPr>
      </w:pPr>
      <w:r>
        <w:rPr>
          <w:color w:val="222222"/>
        </w:rPr>
        <w:t>Within 10’ of your fuel storage, keep a fire extinguisher easily visible and accessible (a 40-B rate extinguisher is recommended)</w:t>
      </w:r>
    </w:p>
    <w:p w14:paraId="00000011" w14:textId="77777777" w:rsidR="00F26ADF" w:rsidRDefault="00000000" w:rsidP="004D0E32">
      <w:pPr>
        <w:numPr>
          <w:ilvl w:val="0"/>
          <w:numId w:val="3"/>
        </w:numPr>
        <w:jc w:val="both"/>
        <w:rPr>
          <w:color w:val="222222"/>
        </w:rPr>
      </w:pPr>
      <w:r>
        <w:rPr>
          <w:color w:val="222222"/>
        </w:rPr>
        <w:t>Fuel storage area must be kept away from where it can be struck by vehicles.</w:t>
      </w:r>
    </w:p>
    <w:p w14:paraId="00000012" w14:textId="77777777" w:rsidR="00F26ADF" w:rsidRDefault="00000000" w:rsidP="004D0E32">
      <w:pPr>
        <w:numPr>
          <w:ilvl w:val="0"/>
          <w:numId w:val="3"/>
        </w:numPr>
        <w:jc w:val="both"/>
        <w:rPr>
          <w:color w:val="222222"/>
        </w:rPr>
      </w:pPr>
      <w:r>
        <w:rPr>
          <w:color w:val="222222"/>
        </w:rPr>
        <w:t>Establish a safety perimeter around fuel storage areas using caution tape or equivalent.</w:t>
      </w:r>
    </w:p>
    <w:p w14:paraId="00000013" w14:textId="7B6167A0" w:rsidR="00F26ADF" w:rsidRDefault="00000000" w:rsidP="004D0E32">
      <w:pPr>
        <w:numPr>
          <w:ilvl w:val="0"/>
          <w:numId w:val="3"/>
        </w:numPr>
        <w:jc w:val="both"/>
        <w:rPr>
          <w:color w:val="222222"/>
        </w:rPr>
      </w:pPr>
      <w:r>
        <w:rPr>
          <w:color w:val="222222"/>
        </w:rPr>
        <w:t xml:space="preserve">Storing fuel in the shade is recommended but if your fuel must be in the sun, make sure that </w:t>
      </w:r>
      <w:r w:rsidR="004D0E32">
        <w:rPr>
          <w:color w:val="222222"/>
        </w:rPr>
        <w:t>it is</w:t>
      </w:r>
      <w:r>
        <w:rPr>
          <w:color w:val="222222"/>
        </w:rPr>
        <w:t xml:space="preserve"> only filled to </w:t>
      </w:r>
      <w:r w:rsidR="004D0E32">
        <w:rPr>
          <w:color w:val="222222"/>
        </w:rPr>
        <w:t>80%.</w:t>
      </w:r>
    </w:p>
    <w:p w14:paraId="00000014" w14:textId="77777777" w:rsidR="00F26ADF" w:rsidRDefault="00000000" w:rsidP="004D0E32">
      <w:pPr>
        <w:numPr>
          <w:ilvl w:val="0"/>
          <w:numId w:val="3"/>
        </w:numPr>
        <w:jc w:val="both"/>
        <w:rPr>
          <w:color w:val="222222"/>
        </w:rPr>
      </w:pPr>
      <w:r>
        <w:rPr>
          <w:color w:val="222222"/>
        </w:rPr>
        <w:t>Fuel should never be stored in a confined space, under or near a structure, vehicle, or living area, or close to sources of ignition.</w:t>
      </w:r>
    </w:p>
    <w:p w14:paraId="00000015" w14:textId="77777777" w:rsidR="00F26ADF" w:rsidRDefault="00000000" w:rsidP="004D0E32">
      <w:pPr>
        <w:numPr>
          <w:ilvl w:val="0"/>
          <w:numId w:val="3"/>
        </w:numPr>
        <w:jc w:val="both"/>
        <w:rPr>
          <w:color w:val="222222"/>
        </w:rPr>
      </w:pPr>
      <w:r>
        <w:rPr>
          <w:color w:val="222222"/>
        </w:rPr>
        <w:t>“NO SMOKING – FLAMMABLE” signage must be visible from all four directions around fuel storage areas.</w:t>
      </w:r>
    </w:p>
    <w:p w14:paraId="00000016" w14:textId="77777777" w:rsidR="00F26ADF" w:rsidRDefault="00F26ADF" w:rsidP="004D0E32">
      <w:pPr>
        <w:jc w:val="both"/>
        <w:rPr>
          <w:color w:val="222222"/>
        </w:rPr>
      </w:pPr>
    </w:p>
    <w:p w14:paraId="00000017" w14:textId="77777777" w:rsidR="00F26ADF" w:rsidRDefault="00000000" w:rsidP="004D0E32">
      <w:pPr>
        <w:jc w:val="both"/>
        <w:rPr>
          <w:b/>
          <w:color w:val="222222"/>
        </w:rPr>
      </w:pPr>
      <w:r>
        <w:rPr>
          <w:b/>
          <w:color w:val="222222"/>
        </w:rPr>
        <w:t>Open Fire Within Theme Camps</w:t>
      </w:r>
    </w:p>
    <w:p w14:paraId="00000018" w14:textId="77777777" w:rsidR="00F26ADF" w:rsidRDefault="00000000" w:rsidP="004D0E32">
      <w:pPr>
        <w:numPr>
          <w:ilvl w:val="0"/>
          <w:numId w:val="2"/>
        </w:numPr>
        <w:jc w:val="both"/>
        <w:rPr>
          <w:color w:val="222222"/>
        </w:rPr>
      </w:pPr>
      <w:r>
        <w:rPr>
          <w:color w:val="222222"/>
        </w:rPr>
        <w:t>The burning of any art installation, wooden structure, or other objects or materials in direct contact with the ground, or without appropriate fireproof containment, is not allowed in any camping area.</w:t>
      </w:r>
    </w:p>
    <w:p w14:paraId="00000019" w14:textId="77777777" w:rsidR="00F26ADF" w:rsidRDefault="00000000" w:rsidP="004D0E32">
      <w:pPr>
        <w:numPr>
          <w:ilvl w:val="0"/>
          <w:numId w:val="2"/>
        </w:numPr>
        <w:jc w:val="both"/>
        <w:rPr>
          <w:color w:val="222222"/>
        </w:rPr>
      </w:pPr>
      <w:r>
        <w:rPr>
          <w:color w:val="222222"/>
        </w:rPr>
        <w:t>Open fire within the camping area is limited to simple burning of solid or unpressurized liquid fuels away from the ground and within appropriate fireproof containment (e.g., burn barrels or other raised containers, lanterns, candles, etc.).</w:t>
      </w:r>
    </w:p>
    <w:p w14:paraId="0000001A" w14:textId="77777777" w:rsidR="00F26ADF" w:rsidRDefault="00000000" w:rsidP="004D0E32">
      <w:pPr>
        <w:numPr>
          <w:ilvl w:val="0"/>
          <w:numId w:val="2"/>
        </w:numPr>
        <w:jc w:val="both"/>
        <w:rPr>
          <w:color w:val="222222"/>
        </w:rPr>
      </w:pPr>
      <w:r>
        <w:rPr>
          <w:color w:val="222222"/>
        </w:rPr>
        <w:t>Burn barrels or other containers should be secured against tipping over, and constructed in a way that the bottom surface is at least six inches from the ground to prevent baking or scarring of the ground surface.</w:t>
      </w:r>
    </w:p>
    <w:p w14:paraId="0000001B" w14:textId="77777777" w:rsidR="00F26ADF" w:rsidRDefault="00000000" w:rsidP="004D0E32">
      <w:pPr>
        <w:numPr>
          <w:ilvl w:val="0"/>
          <w:numId w:val="2"/>
        </w:numPr>
        <w:jc w:val="both"/>
        <w:rPr>
          <w:color w:val="222222"/>
        </w:rPr>
      </w:pPr>
      <w:r>
        <w:rPr>
          <w:color w:val="222222"/>
        </w:rPr>
        <w:t>No burn barrels or other open fire shall be left unattended. At least one camp member should be designated fire tender and be within visual distance at all times. If found unattended while lit, open flames or burn barrels may be extinguished and/or confiscated if there is sufficient threat of hazard.</w:t>
      </w:r>
    </w:p>
    <w:p w14:paraId="0000001C" w14:textId="77777777" w:rsidR="00F26ADF" w:rsidRDefault="00000000" w:rsidP="004D0E32">
      <w:pPr>
        <w:numPr>
          <w:ilvl w:val="0"/>
          <w:numId w:val="2"/>
        </w:numPr>
        <w:jc w:val="both"/>
        <w:rPr>
          <w:color w:val="222222"/>
        </w:rPr>
      </w:pPr>
      <w:r>
        <w:rPr>
          <w:color w:val="222222"/>
        </w:rPr>
        <w:t>If winds pick up, all open fire must be put out immediately and burn barrels must be extinguished if they begin to throw sparks.</w:t>
      </w:r>
    </w:p>
    <w:p w14:paraId="0000001D" w14:textId="77777777" w:rsidR="00F26ADF" w:rsidRDefault="00000000" w:rsidP="004D0E32">
      <w:pPr>
        <w:numPr>
          <w:ilvl w:val="0"/>
          <w:numId w:val="2"/>
        </w:numPr>
        <w:jc w:val="both"/>
        <w:rPr>
          <w:color w:val="222222"/>
        </w:rPr>
      </w:pPr>
      <w:r>
        <w:rPr>
          <w:color w:val="222222"/>
        </w:rPr>
        <w:lastRenderedPageBreak/>
        <w:t>Open fire displays greater than 10 feet tall should be secured from the wind and their safety perimeters increased appropriately.</w:t>
      </w:r>
    </w:p>
    <w:p w14:paraId="0000001E" w14:textId="77777777" w:rsidR="00F26ADF" w:rsidRDefault="00000000" w:rsidP="004D0E32">
      <w:pPr>
        <w:numPr>
          <w:ilvl w:val="0"/>
          <w:numId w:val="2"/>
        </w:numPr>
        <w:jc w:val="both"/>
        <w:rPr>
          <w:color w:val="222222"/>
        </w:rPr>
      </w:pPr>
      <w:r>
        <w:rPr>
          <w:color w:val="222222"/>
        </w:rPr>
        <w:t>Open fire or burn barrels must be immediately extinguished at the request of any event staff.</w:t>
      </w:r>
    </w:p>
    <w:p w14:paraId="0000001F" w14:textId="32C1BD79" w:rsidR="00F26ADF" w:rsidRDefault="00000000" w:rsidP="004D0E32">
      <w:pPr>
        <w:numPr>
          <w:ilvl w:val="0"/>
          <w:numId w:val="2"/>
        </w:numPr>
        <w:jc w:val="both"/>
        <w:rPr>
          <w:color w:val="222222"/>
        </w:rPr>
      </w:pPr>
      <w:r>
        <w:rPr>
          <w:color w:val="222222"/>
        </w:rPr>
        <w:t xml:space="preserve">A </w:t>
      </w:r>
      <w:r w:rsidR="004D0E32">
        <w:rPr>
          <w:color w:val="222222"/>
        </w:rPr>
        <w:t>20-foot</w:t>
      </w:r>
      <w:r>
        <w:rPr>
          <w:color w:val="222222"/>
        </w:rPr>
        <w:t xml:space="preserve"> zone around the fire must be free of any combustible materials such as (but not limited to) cloth, paper, tents, plastic, etc.</w:t>
      </w:r>
    </w:p>
    <w:p w14:paraId="00000020" w14:textId="77777777" w:rsidR="00F26ADF" w:rsidRDefault="00000000" w:rsidP="004D0E32">
      <w:pPr>
        <w:numPr>
          <w:ilvl w:val="0"/>
          <w:numId w:val="2"/>
        </w:numPr>
        <w:jc w:val="both"/>
        <w:rPr>
          <w:color w:val="222222"/>
        </w:rPr>
      </w:pPr>
      <w:r>
        <w:rPr>
          <w:color w:val="222222"/>
        </w:rPr>
        <w:t>A supply of at least five gallons of water must be kept on hand to extinguish wood fires in case of high winds or other hazards. Wind can blow embers and sparks a long distance!</w:t>
      </w:r>
    </w:p>
    <w:p w14:paraId="00000021" w14:textId="77777777" w:rsidR="00F26ADF" w:rsidRDefault="00F26ADF" w:rsidP="004D0E32">
      <w:pPr>
        <w:jc w:val="both"/>
        <w:rPr>
          <w:color w:val="222222"/>
        </w:rPr>
      </w:pPr>
    </w:p>
    <w:p w14:paraId="00000022" w14:textId="77777777" w:rsidR="00F26ADF" w:rsidRDefault="00F26ADF" w:rsidP="004D0E32">
      <w:pPr>
        <w:jc w:val="both"/>
        <w:rPr>
          <w:color w:val="222222"/>
        </w:rPr>
      </w:pPr>
    </w:p>
    <w:p w14:paraId="00000023" w14:textId="77777777" w:rsidR="00F26ADF" w:rsidRDefault="00000000" w:rsidP="004D0E32">
      <w:pPr>
        <w:jc w:val="both"/>
        <w:rPr>
          <w:b/>
          <w:color w:val="222222"/>
        </w:rPr>
      </w:pPr>
      <w:r>
        <w:rPr>
          <w:b/>
          <w:color w:val="222222"/>
        </w:rPr>
        <w:t>Flame Effects and LP-Gas Appliances Within Theme Camps</w:t>
      </w:r>
    </w:p>
    <w:p w14:paraId="00000024" w14:textId="77777777" w:rsidR="00F26ADF" w:rsidRDefault="00F26ADF" w:rsidP="004D0E32">
      <w:pPr>
        <w:jc w:val="both"/>
        <w:rPr>
          <w:color w:val="222222"/>
        </w:rPr>
      </w:pPr>
    </w:p>
    <w:p w14:paraId="00000025" w14:textId="77777777" w:rsidR="00F26ADF" w:rsidRDefault="00000000" w:rsidP="004D0E32">
      <w:pPr>
        <w:jc w:val="both"/>
        <w:rPr>
          <w:color w:val="222222"/>
        </w:rPr>
      </w:pPr>
      <w:r>
        <w:rPr>
          <w:color w:val="222222"/>
        </w:rPr>
        <w:t>Flame effects are allowed within the camping area, subject to all General Flame Effects Guidelines, plus additional considerations specific to the dense urban landscape:</w:t>
      </w:r>
    </w:p>
    <w:p w14:paraId="00000026" w14:textId="77777777" w:rsidR="00F26ADF" w:rsidRDefault="00F26ADF" w:rsidP="004D0E32">
      <w:pPr>
        <w:jc w:val="both"/>
        <w:rPr>
          <w:color w:val="222222"/>
        </w:rPr>
      </w:pPr>
    </w:p>
    <w:p w14:paraId="00000027" w14:textId="77777777" w:rsidR="00F26ADF" w:rsidRDefault="00000000" w:rsidP="004D0E32">
      <w:pPr>
        <w:numPr>
          <w:ilvl w:val="0"/>
          <w:numId w:val="1"/>
        </w:numPr>
        <w:jc w:val="both"/>
        <w:rPr>
          <w:color w:val="222222"/>
        </w:rPr>
      </w:pPr>
      <w:r>
        <w:rPr>
          <w:color w:val="222222"/>
        </w:rPr>
        <w:t>The use of liquid-fueled flame effects is prohibited in the camping area.</w:t>
      </w:r>
    </w:p>
    <w:p w14:paraId="00000028" w14:textId="77777777" w:rsidR="00F26ADF" w:rsidRDefault="00000000" w:rsidP="004D0E32">
      <w:pPr>
        <w:numPr>
          <w:ilvl w:val="0"/>
          <w:numId w:val="1"/>
        </w:numPr>
        <w:jc w:val="both"/>
        <w:rPr>
          <w:color w:val="222222"/>
        </w:rPr>
      </w:pPr>
      <w:r>
        <w:rPr>
          <w:color w:val="222222"/>
        </w:rPr>
        <w:t>If winds pick up, all flame effects must be put out immediately.</w:t>
      </w:r>
    </w:p>
    <w:p w14:paraId="00000029" w14:textId="77777777" w:rsidR="00F26ADF" w:rsidRDefault="00000000" w:rsidP="004D0E32">
      <w:pPr>
        <w:numPr>
          <w:ilvl w:val="0"/>
          <w:numId w:val="1"/>
        </w:numPr>
        <w:jc w:val="both"/>
        <w:rPr>
          <w:color w:val="222222"/>
        </w:rPr>
      </w:pPr>
      <w:r>
        <w:rPr>
          <w:color w:val="222222"/>
        </w:rPr>
        <w:t>Flame effects must be extinguished at the request of any Ranger, FAST and/or Emergency Services personnel.</w:t>
      </w:r>
    </w:p>
    <w:p w14:paraId="0000002A" w14:textId="77777777" w:rsidR="00F26ADF" w:rsidRDefault="00F26ADF" w:rsidP="004D0E32">
      <w:pPr>
        <w:jc w:val="both"/>
        <w:rPr>
          <w:color w:val="222222"/>
        </w:rPr>
      </w:pPr>
    </w:p>
    <w:p w14:paraId="0000002B" w14:textId="7703E206" w:rsidR="00F26ADF" w:rsidRDefault="00000000" w:rsidP="004D0E32">
      <w:pPr>
        <w:jc w:val="both"/>
        <w:rPr>
          <w:color w:val="222222"/>
        </w:rPr>
      </w:pPr>
      <w:r>
        <w:rPr>
          <w:color w:val="222222"/>
        </w:rPr>
        <w:t xml:space="preserve">Note that store-bought, UL-approved patio heaters, fire pits, lamps and lanterns, cooking units and other unmodified UL-approved appliances that burn LP-Gas are not considered “flame effects” for purposes of this section. </w:t>
      </w:r>
      <w:r w:rsidR="004D0E32">
        <w:rPr>
          <w:color w:val="222222"/>
        </w:rPr>
        <w:t>However,</w:t>
      </w:r>
      <w:r>
        <w:rPr>
          <w:color w:val="222222"/>
        </w:rPr>
        <w:t xml:space="preserve"> due caution in using such appliances is still required, including but not limited to locating them sensibly, securing them from wind, checking them for leaks, and so on.</w:t>
      </w:r>
    </w:p>
    <w:p w14:paraId="0000002C" w14:textId="77777777" w:rsidR="00F26ADF" w:rsidRDefault="00F26ADF" w:rsidP="004D0E32">
      <w:pPr>
        <w:jc w:val="both"/>
        <w:rPr>
          <w:color w:val="222222"/>
        </w:rPr>
      </w:pPr>
    </w:p>
    <w:p w14:paraId="0000002D" w14:textId="77777777" w:rsidR="00F26ADF" w:rsidRDefault="00000000" w:rsidP="004D0E32">
      <w:pPr>
        <w:jc w:val="both"/>
        <w:rPr>
          <w:color w:val="222222"/>
        </w:rPr>
      </w:pPr>
      <w:r>
        <w:rPr>
          <w:color w:val="222222"/>
        </w:rPr>
        <w:t>Event staff have jurisdiction over all such appliances, and any request from event staff to secure, relocate, or turn off of any such appliance must be accommodated.</w:t>
      </w:r>
    </w:p>
    <w:p w14:paraId="0000002E" w14:textId="77777777" w:rsidR="00F26ADF" w:rsidRDefault="00F26ADF" w:rsidP="004D0E32">
      <w:pPr>
        <w:jc w:val="both"/>
        <w:rPr>
          <w:color w:val="222222"/>
        </w:rPr>
      </w:pPr>
    </w:p>
    <w:p w14:paraId="0000002F" w14:textId="77777777" w:rsidR="00F26ADF" w:rsidRDefault="00000000" w:rsidP="004D0E32">
      <w:pPr>
        <w:jc w:val="both"/>
        <w:rPr>
          <w:b/>
          <w:color w:val="222222"/>
        </w:rPr>
      </w:pPr>
      <w:r>
        <w:rPr>
          <w:b/>
          <w:color w:val="222222"/>
        </w:rPr>
        <w:t>Fire Performance Within Theme Camps</w:t>
      </w:r>
    </w:p>
    <w:p w14:paraId="00000030" w14:textId="77777777" w:rsidR="00F26ADF" w:rsidRDefault="00F26ADF" w:rsidP="004D0E32">
      <w:pPr>
        <w:jc w:val="both"/>
        <w:rPr>
          <w:color w:val="222222"/>
        </w:rPr>
      </w:pPr>
    </w:p>
    <w:p w14:paraId="00000035" w14:textId="1F99BB0F" w:rsidR="00F26ADF" w:rsidRDefault="00000000" w:rsidP="004D0E32">
      <w:pPr>
        <w:jc w:val="both"/>
      </w:pPr>
      <w:r>
        <w:rPr>
          <w:color w:val="222222"/>
        </w:rPr>
        <w:t>Any fire performances within theme camps are at the discretion of event staff. Please contact the event fire performance leads beforehand.</w:t>
      </w:r>
    </w:p>
    <w:sectPr w:rsidR="00F26AD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7563D"/>
    <w:multiLevelType w:val="multilevel"/>
    <w:tmpl w:val="76DAF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711D4B"/>
    <w:multiLevelType w:val="multilevel"/>
    <w:tmpl w:val="E89AE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A71EF3"/>
    <w:multiLevelType w:val="multilevel"/>
    <w:tmpl w:val="21D0A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D97DF9"/>
    <w:multiLevelType w:val="multilevel"/>
    <w:tmpl w:val="1A5CB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1508480">
    <w:abstractNumId w:val="2"/>
  </w:num>
  <w:num w:numId="2" w16cid:durableId="1108501961">
    <w:abstractNumId w:val="1"/>
  </w:num>
  <w:num w:numId="3" w16cid:durableId="629700804">
    <w:abstractNumId w:val="0"/>
  </w:num>
  <w:num w:numId="4" w16cid:durableId="1571231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DF"/>
    <w:rsid w:val="004D0E32"/>
    <w:rsid w:val="0082641E"/>
    <w:rsid w:val="00A47F62"/>
    <w:rsid w:val="00F2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F0E6"/>
  <w15:docId w15:val="{93650BFE-3CE1-42C9-A6CA-448A3948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Stiers</dc:creator>
  <cp:lastModifiedBy>Debra Stiers</cp:lastModifiedBy>
  <cp:revision>2</cp:revision>
  <dcterms:created xsi:type="dcterms:W3CDTF">2024-04-25T16:19:00Z</dcterms:created>
  <dcterms:modified xsi:type="dcterms:W3CDTF">2024-04-25T16:19:00Z</dcterms:modified>
</cp:coreProperties>
</file>